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BA" w:rsidRPr="00A753BA" w:rsidRDefault="00A753BA" w:rsidP="0063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31"/>
        <w:tblW w:w="6941" w:type="dxa"/>
        <w:tblLook w:val="04A0" w:firstRow="1" w:lastRow="0" w:firstColumn="1" w:lastColumn="0" w:noHBand="0" w:noVBand="1"/>
      </w:tblPr>
      <w:tblGrid>
        <w:gridCol w:w="1766"/>
        <w:gridCol w:w="4466"/>
        <w:gridCol w:w="709"/>
      </w:tblGrid>
      <w:tr w:rsidR="00255732" w:rsidTr="00636783">
        <w:trPr>
          <w:trHeight w:val="1020"/>
        </w:trPr>
        <w:tc>
          <w:tcPr>
            <w:tcW w:w="1766" w:type="dxa"/>
            <w:shd w:val="clear" w:color="auto" w:fill="BFBFBF" w:themeFill="background1" w:themeFillShade="BF"/>
          </w:tcPr>
          <w:p w:rsidR="00255732" w:rsidRPr="00636783" w:rsidRDefault="00255732" w:rsidP="00636783">
            <w:pPr>
              <w:jc w:val="center"/>
              <w:rPr>
                <w:b/>
                <w:bCs/>
              </w:rPr>
            </w:pPr>
            <w:r w:rsidRPr="00636783">
              <w:rPr>
                <w:rFonts w:hint="cs"/>
                <w:b/>
                <w:bCs/>
                <w:rtl/>
              </w:rPr>
              <w:lastRenderedPageBreak/>
              <w:t>عنوان انگلیسی</w:t>
            </w:r>
          </w:p>
        </w:tc>
        <w:tc>
          <w:tcPr>
            <w:tcW w:w="4466" w:type="dxa"/>
            <w:shd w:val="clear" w:color="auto" w:fill="BFBFBF" w:themeFill="background1" w:themeFillShade="BF"/>
          </w:tcPr>
          <w:p w:rsidR="00255732" w:rsidRPr="00636783" w:rsidRDefault="00255732" w:rsidP="00636783">
            <w:pPr>
              <w:pStyle w:val="NormalWeb"/>
              <w:bidi/>
              <w:jc w:val="center"/>
              <w:rPr>
                <w:rFonts w:hAnsi="Symbol"/>
                <w:b/>
                <w:bCs/>
              </w:rPr>
            </w:pPr>
            <w:bookmarkStart w:id="0" w:name="_GoBack"/>
            <w:bookmarkEnd w:id="0"/>
            <w:r w:rsidRPr="00636783">
              <w:rPr>
                <w:rFonts w:hAnsi="Symbol" w:hint="cs"/>
                <w:b/>
                <w:bCs/>
                <w:rtl/>
              </w:rPr>
              <w:t>عنوان به فارسی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55732" w:rsidRPr="00636783" w:rsidRDefault="00255732" w:rsidP="00636783">
            <w:pPr>
              <w:pStyle w:val="NormalWeb"/>
              <w:bidi/>
              <w:jc w:val="center"/>
              <w:rPr>
                <w:rFonts w:hAnsi="Symbol" w:hint="cs"/>
                <w:b/>
                <w:bCs/>
                <w:rtl/>
              </w:rPr>
            </w:pPr>
            <w:r w:rsidRPr="00636783">
              <w:rPr>
                <w:rFonts w:hAnsi="Symbol" w:hint="cs"/>
                <w:b/>
                <w:bCs/>
                <w:rtl/>
              </w:rPr>
              <w:t>ردیف</w:t>
            </w:r>
          </w:p>
        </w:tc>
      </w:tr>
      <w:tr w:rsidR="00255732" w:rsidTr="00636783">
        <w:trPr>
          <w:trHeight w:val="1020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 xml:space="preserve">Maxing the Impossible Possible: My Work for </w:t>
            </w:r>
            <w:proofErr w:type="spellStart"/>
            <w:r>
              <w:t>Laprosy</w:t>
            </w:r>
            <w:proofErr w:type="spellEnd"/>
            <w:r>
              <w:t xml:space="preserve"> </w:t>
            </w:r>
            <w:proofErr w:type="spellStart"/>
            <w:r>
              <w:t>Eliminallon</w:t>
            </w:r>
            <w:proofErr w:type="spellEnd"/>
            <w:r>
              <w:t xml:space="preserve"> and Human Rights</w:t>
            </w: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ممکن ساختن ناممکن: کار من برای ریشه‌کنی جذام و حقوق بشر</w:t>
            </w:r>
          </w:p>
        </w:tc>
        <w:tc>
          <w:tcPr>
            <w:tcW w:w="709" w:type="dxa"/>
          </w:tcPr>
          <w:p w:rsidR="00255732" w:rsidRPr="0025573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1</w:t>
            </w:r>
          </w:p>
        </w:tc>
      </w:tr>
      <w:tr w:rsidR="00255732" w:rsidTr="00636783">
        <w:trPr>
          <w:trHeight w:val="1279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 xml:space="preserve">Walking with the Farmer-the journey of the </w:t>
            </w:r>
            <w:proofErr w:type="spellStart"/>
            <w:r>
              <w:t>Sasakawa</w:t>
            </w:r>
            <w:proofErr w:type="spellEnd"/>
            <w:r>
              <w:t xml:space="preserve"> Africa</w:t>
            </w:r>
          </w:p>
          <w:p w:rsidR="00255732" w:rsidRDefault="00255732" w:rsidP="00636783">
            <w:pPr>
              <w:jc w:val="right"/>
            </w:pPr>
            <w:r>
              <w:t>Association since 1986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 xml:space="preserve">همراهی با کشاورز – سفر انجمن ساساکاوا آفریقا از سال </w:t>
            </w:r>
            <w:r w:rsidRPr="00F03E62">
              <w:rPr>
                <w:rtl/>
                <w:lang w:bidi="fa-IR"/>
              </w:rPr>
              <w:t>۱۹۸۶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2</w:t>
            </w:r>
          </w:p>
        </w:tc>
      </w:tr>
      <w:tr w:rsidR="00255732" w:rsidTr="00636783">
        <w:trPr>
          <w:trHeight w:val="790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Sacred Heritage in Japan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میراث مقدس در ژاپن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3</w:t>
            </w:r>
          </w:p>
        </w:tc>
      </w:tr>
      <w:tr w:rsidR="00255732" w:rsidTr="00636783">
        <w:trPr>
          <w:trHeight w:val="1279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 xml:space="preserve">Culture as Power Buddhist Heritage and the </w:t>
            </w:r>
            <w:proofErr w:type="spellStart"/>
            <w:r>
              <w:t>inde</w:t>
            </w:r>
            <w:proofErr w:type="spellEnd"/>
            <w:r>
              <w:t>-Japanese Dialogue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فرهنگ به مثابه قدرت: میراث بودایی و گفت‌وگوی هندو-ژاپنی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4</w:t>
            </w:r>
          </w:p>
        </w:tc>
      </w:tr>
      <w:tr w:rsidR="00255732" w:rsidTr="00636783">
        <w:trPr>
          <w:trHeight w:val="1020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 xml:space="preserve">Behold the Buddha: Religious Meanings of Japanese </w:t>
            </w:r>
            <w:proofErr w:type="spellStart"/>
            <w:r>
              <w:t>Boddhist</w:t>
            </w:r>
            <w:proofErr w:type="spellEnd"/>
            <w:r>
              <w:t xml:space="preserve"> Icons</w:t>
            </w: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نظاره بر بودا: معانی دینی نمادهای بودایی ژاپن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5</w:t>
            </w:r>
          </w:p>
        </w:tc>
      </w:tr>
      <w:tr w:rsidR="00255732" w:rsidTr="00636783">
        <w:trPr>
          <w:trHeight w:val="776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The Last and the Longest Mile: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آخرین و طولانی‌ترین مایل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6</w:t>
            </w:r>
          </w:p>
        </w:tc>
      </w:tr>
      <w:tr w:rsidR="00255732" w:rsidTr="00636783">
        <w:trPr>
          <w:trHeight w:val="761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 xml:space="preserve">Politics and Power in 20th Century </w:t>
            </w:r>
            <w:proofErr w:type="spellStart"/>
            <w:r>
              <w:t>lapan</w:t>
            </w:r>
            <w:proofErr w:type="spellEnd"/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سیاست و قدرت در ژاپن قرن بیستم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7</w:t>
            </w:r>
          </w:p>
        </w:tc>
      </w:tr>
      <w:tr w:rsidR="00255732" w:rsidTr="00636783">
        <w:trPr>
          <w:trHeight w:val="517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proofErr w:type="spellStart"/>
            <w:r>
              <w:t>Sasakawa</w:t>
            </w:r>
            <w:proofErr w:type="spellEnd"/>
            <w:r>
              <w:t xml:space="preserve"> </w:t>
            </w:r>
            <w:proofErr w:type="spellStart"/>
            <w:r>
              <w:t>Ryoich</w:t>
            </w:r>
            <w:proofErr w:type="spellEnd"/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rPr>
                <w:rFonts w:hAnsi="Symbol"/>
              </w:rPr>
              <w:t></w:t>
            </w:r>
            <w:r w:rsidRPr="00F03E62">
              <w:t xml:space="preserve">  </w:t>
            </w:r>
            <w:r w:rsidRPr="00F03E62">
              <w:rPr>
                <w:rtl/>
              </w:rPr>
              <w:t>ساساکاوا ریوئیچی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  <w:rPr>
                <w:rFonts w:hAnsi="Symbol"/>
              </w:rPr>
            </w:pPr>
            <w:r>
              <w:rPr>
                <w:rFonts w:hAnsi="Symbol" w:hint="cs"/>
                <w:rtl/>
              </w:rPr>
              <w:t>8</w:t>
            </w:r>
          </w:p>
        </w:tc>
      </w:tr>
      <w:tr w:rsidR="00255732" w:rsidTr="00636783">
        <w:trPr>
          <w:trHeight w:val="517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proofErr w:type="spellStart"/>
            <w:r>
              <w:t>Sugamo</w:t>
            </w:r>
            <w:proofErr w:type="spellEnd"/>
            <w:r>
              <w:t xml:space="preserve"> Diary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خاطرات سوگامو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9</w:t>
            </w:r>
          </w:p>
        </w:tc>
      </w:tr>
      <w:tr w:rsidR="00255732" w:rsidTr="00636783">
        <w:trPr>
          <w:trHeight w:val="761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No Matter Where the journey Takes Me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مهم نیست سفر مرا به کجا ببرد</w:t>
            </w:r>
          </w:p>
        </w:tc>
        <w:tc>
          <w:tcPr>
            <w:tcW w:w="709" w:type="dxa"/>
          </w:tcPr>
          <w:p w:rsidR="00255732" w:rsidRPr="0025573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10</w:t>
            </w:r>
          </w:p>
        </w:tc>
      </w:tr>
      <w:tr w:rsidR="00255732" w:rsidTr="00636783">
        <w:trPr>
          <w:trHeight w:val="503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proofErr w:type="spellStart"/>
            <w:r>
              <w:lastRenderedPageBreak/>
              <w:t>Cueder</w:t>
            </w:r>
            <w:proofErr w:type="spellEnd"/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کوئدر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11</w:t>
            </w:r>
          </w:p>
        </w:tc>
      </w:tr>
      <w:tr w:rsidR="00255732" w:rsidTr="00636783">
        <w:trPr>
          <w:trHeight w:val="776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 xml:space="preserve">A </w:t>
            </w:r>
            <w:proofErr w:type="spellStart"/>
            <w:r>
              <w:t>Madern</w:t>
            </w:r>
            <w:proofErr w:type="spellEnd"/>
            <w:r>
              <w:t>. History of Japan: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تاریخ مدرن ژاپن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12</w:t>
            </w:r>
          </w:p>
        </w:tc>
      </w:tr>
      <w:tr w:rsidR="00255732" w:rsidTr="00636783">
        <w:trPr>
          <w:trHeight w:val="503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Generations in Touch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نسل‌ها در ارتباط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13</w:t>
            </w:r>
          </w:p>
        </w:tc>
      </w:tr>
      <w:tr w:rsidR="00255732" w:rsidTr="00636783">
        <w:trPr>
          <w:trHeight w:val="1034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Configurations of Family in Contemporary Japan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پیکربندی‌های خانواده در ژاپن معاصر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14</w:t>
            </w:r>
          </w:p>
        </w:tc>
      </w:tr>
      <w:tr w:rsidR="00255732" w:rsidTr="00636783">
        <w:trPr>
          <w:trHeight w:val="503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Aging and Loss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پیری و فقدان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15</w:t>
            </w:r>
          </w:p>
        </w:tc>
      </w:tr>
      <w:tr w:rsidR="00255732" w:rsidTr="00636783">
        <w:trPr>
          <w:trHeight w:val="517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 xml:space="preserve">Lost in </w:t>
            </w:r>
            <w:proofErr w:type="spellStart"/>
            <w:r>
              <w:t>Trasition</w:t>
            </w:r>
            <w:proofErr w:type="spellEnd"/>
            <w:r>
              <w:t>: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گم‌شده در گذار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16</w:t>
            </w:r>
          </w:p>
        </w:tc>
      </w:tr>
      <w:tr w:rsidR="00255732" w:rsidTr="00636783">
        <w:trPr>
          <w:trHeight w:val="1020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Routledge Handbook of Japanese Culture and Society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راهنمای روتلج فرهنگ و جامعه ژاپنی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17</w:t>
            </w:r>
          </w:p>
        </w:tc>
      </w:tr>
      <w:tr w:rsidR="00255732" w:rsidTr="00636783">
        <w:trPr>
          <w:trHeight w:val="503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Bushido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بوشیدو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18</w:t>
            </w:r>
          </w:p>
        </w:tc>
      </w:tr>
      <w:tr w:rsidR="00255732" w:rsidTr="00636783">
        <w:trPr>
          <w:trHeight w:val="517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Tokugawa Religion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دین توکوگاوا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19</w:t>
            </w:r>
          </w:p>
        </w:tc>
      </w:tr>
      <w:tr w:rsidR="00255732" w:rsidTr="00636783">
        <w:trPr>
          <w:trHeight w:val="761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The Conquest of Ainu Lands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فتح سرزمین‌های آینو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20</w:t>
            </w:r>
          </w:p>
        </w:tc>
      </w:tr>
      <w:tr w:rsidR="00255732" w:rsidTr="00636783">
        <w:trPr>
          <w:trHeight w:val="776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A Cultural History of Japanese Buddhism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تاریخ فرهنگی بودیسم ژاپنی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21</w:t>
            </w:r>
          </w:p>
        </w:tc>
      </w:tr>
      <w:tr w:rsidR="00255732" w:rsidTr="00636783">
        <w:trPr>
          <w:trHeight w:val="761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Women in Japanese Religions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زنان در ادیان ژاپنی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22</w:t>
            </w:r>
          </w:p>
        </w:tc>
      </w:tr>
      <w:tr w:rsidR="00255732" w:rsidTr="00636783">
        <w:trPr>
          <w:trHeight w:val="1020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Faith and Power in Japanese Buddhist Art: 1600-2005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 xml:space="preserve">ایمان و قدرت در هنر بودایی ژاپن: </w:t>
            </w:r>
            <w:r w:rsidRPr="00F03E62">
              <w:rPr>
                <w:rtl/>
                <w:lang w:bidi="fa-IR"/>
              </w:rPr>
              <w:t>۱۶۰۰–۲۰۰۵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23</w:t>
            </w:r>
          </w:p>
        </w:tc>
      </w:tr>
      <w:tr w:rsidR="00255732" w:rsidTr="00636783">
        <w:trPr>
          <w:trHeight w:val="776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From Chinese Chan to Japanese Zen: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lastRenderedPageBreak/>
              <w:t xml:space="preserve">  </w:t>
            </w:r>
            <w:r w:rsidRPr="00F03E62">
              <w:rPr>
                <w:rtl/>
              </w:rPr>
              <w:t>از چان چینی تا ذن ژاپنی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24</w:t>
            </w:r>
          </w:p>
        </w:tc>
      </w:tr>
      <w:tr w:rsidR="00255732" w:rsidTr="00636783">
        <w:trPr>
          <w:trHeight w:val="761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proofErr w:type="spellStart"/>
            <w:r>
              <w:lastRenderedPageBreak/>
              <w:t>Nanzan</w:t>
            </w:r>
            <w:proofErr w:type="spellEnd"/>
            <w:r>
              <w:t xml:space="preserve"> Guide to Japanese Religions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راهنمای نانزان برای ادیان ژاپنی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25</w:t>
            </w:r>
          </w:p>
        </w:tc>
      </w:tr>
      <w:tr w:rsidR="00255732" w:rsidTr="00636783">
        <w:trPr>
          <w:trHeight w:val="776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A New History of Shinto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تاریخ جدید شینتو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26</w:t>
            </w:r>
          </w:p>
        </w:tc>
      </w:tr>
      <w:tr w:rsidR="00255732" w:rsidTr="00636783">
        <w:trPr>
          <w:trHeight w:val="761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 xml:space="preserve">A Social History of the </w:t>
            </w:r>
            <w:proofErr w:type="spellStart"/>
            <w:r>
              <w:t>ise</w:t>
            </w:r>
            <w:proofErr w:type="spellEnd"/>
            <w:r>
              <w:t xml:space="preserve"> Shrines: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تاریخ اجتماعی معابد ایسه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27</w:t>
            </w:r>
          </w:p>
        </w:tc>
      </w:tr>
      <w:tr w:rsidR="00255732" w:rsidTr="00636783">
        <w:trPr>
          <w:trHeight w:val="503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Drawing on Tradition: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بهره‌گیری از سنت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28</w:t>
            </w:r>
          </w:p>
        </w:tc>
      </w:tr>
      <w:tr w:rsidR="00255732" w:rsidTr="00636783">
        <w:trPr>
          <w:trHeight w:val="517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The Book of Tea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t xml:space="preserve">  </w:t>
            </w:r>
            <w:r w:rsidRPr="00F03E62">
              <w:rPr>
                <w:rtl/>
              </w:rPr>
              <w:t>کتاب چای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>
              <w:rPr>
                <w:rFonts w:hint="cs"/>
                <w:rtl/>
              </w:rPr>
              <w:t>29</w:t>
            </w:r>
          </w:p>
        </w:tc>
      </w:tr>
      <w:tr w:rsidR="00255732" w:rsidTr="00636783">
        <w:trPr>
          <w:trHeight w:val="1020"/>
        </w:trPr>
        <w:tc>
          <w:tcPr>
            <w:tcW w:w="1766" w:type="dxa"/>
          </w:tcPr>
          <w:p w:rsidR="00255732" w:rsidRDefault="00255732" w:rsidP="00636783">
            <w:pPr>
              <w:jc w:val="right"/>
            </w:pPr>
            <w:r>
              <w:t>Japan and the Culture of the Four Seasons</w:t>
            </w:r>
          </w:p>
          <w:p w:rsidR="00255732" w:rsidRDefault="00255732" w:rsidP="00636783">
            <w:pPr>
              <w:jc w:val="right"/>
            </w:pPr>
            <w:proofErr w:type="spellStart"/>
            <w:r>
              <w:t>Premodem</w:t>
            </w:r>
            <w:proofErr w:type="spellEnd"/>
            <w:r>
              <w:t xml:space="preserve"> Japan</w:t>
            </w:r>
          </w:p>
          <w:p w:rsidR="00255732" w:rsidRDefault="00255732" w:rsidP="00636783">
            <w:pPr>
              <w:jc w:val="right"/>
            </w:pPr>
          </w:p>
        </w:tc>
        <w:tc>
          <w:tcPr>
            <w:tcW w:w="4466" w:type="dxa"/>
          </w:tcPr>
          <w:p w:rsidR="00255732" w:rsidRPr="00F03E62" w:rsidRDefault="00255732" w:rsidP="00636783">
            <w:pPr>
              <w:pStyle w:val="NormalWeb"/>
              <w:bidi/>
              <w:jc w:val="right"/>
            </w:pPr>
            <w:r w:rsidRPr="00F03E62">
              <w:rPr>
                <w:rtl/>
              </w:rPr>
              <w:t>ژاپن و فرهنگ چهار فصل</w:t>
            </w:r>
          </w:p>
        </w:tc>
        <w:tc>
          <w:tcPr>
            <w:tcW w:w="709" w:type="dxa"/>
          </w:tcPr>
          <w:p w:rsidR="00255732" w:rsidRPr="00F03E62" w:rsidRDefault="00255732" w:rsidP="00636783">
            <w:pPr>
              <w:pStyle w:val="NormalWeb"/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</w:tr>
    </w:tbl>
    <w:p w:rsidR="00255732" w:rsidRDefault="00255732" w:rsidP="00636783">
      <w:pPr>
        <w:pStyle w:val="NormalWeb"/>
        <w:spacing w:before="0" w:beforeAutospacing="0"/>
        <w:jc w:val="right"/>
        <w:rPr>
          <w:rtl/>
        </w:rPr>
      </w:pPr>
    </w:p>
    <w:p w:rsidR="00255732" w:rsidRDefault="00255732" w:rsidP="00636783">
      <w:pPr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tl/>
        </w:rPr>
        <w:br w:type="page"/>
      </w:r>
    </w:p>
    <w:p w:rsidR="00255732" w:rsidRPr="00636783" w:rsidRDefault="00255732" w:rsidP="00636783">
      <w:pPr>
        <w:pStyle w:val="NormalWeb"/>
        <w:spacing w:before="0" w:beforeAutospacing="0"/>
        <w:jc w:val="right"/>
        <w:rPr>
          <w:rFonts w:ascii="IRLotus" w:hAnsi="IRLotus" w:cs="IRLotus"/>
          <w:sz w:val="28"/>
          <w:szCs w:val="28"/>
          <w:rtl/>
        </w:rPr>
      </w:pPr>
    </w:p>
    <w:p w:rsidR="00255732" w:rsidRPr="00636783" w:rsidRDefault="00255732" w:rsidP="00636783">
      <w:pPr>
        <w:pStyle w:val="Heading1"/>
        <w:jc w:val="right"/>
        <w:rPr>
          <w:rFonts w:ascii="IRLotus" w:eastAsia="Times New Roman" w:hAnsi="IRLotus" w:cs="IRLotus"/>
          <w:b/>
          <w:bCs/>
          <w:color w:val="auto"/>
          <w:sz w:val="28"/>
          <w:szCs w:val="28"/>
        </w:rPr>
      </w:pPr>
      <w:r w:rsidRPr="00636783">
        <w:rPr>
          <w:rFonts w:ascii="IRLotus" w:eastAsia="Times New Roman" w:hAnsi="IRLotus" w:cs="IRLotus"/>
          <w:b/>
          <w:bCs/>
          <w:color w:val="auto"/>
          <w:sz w:val="28"/>
          <w:szCs w:val="28"/>
          <w:rtl/>
        </w:rPr>
        <w:br/>
      </w:r>
      <w:hyperlink r:id="rId5" w:history="1">
        <w:r w:rsidRPr="00636783">
          <w:rPr>
            <w:rFonts w:ascii="IRLotus" w:eastAsia="Times New Roman" w:hAnsi="IRLotus" w:cs="IRLotus"/>
            <w:b/>
            <w:bCs/>
            <w:color w:val="auto"/>
            <w:sz w:val="28"/>
            <w:szCs w:val="28"/>
            <w:rtl/>
          </w:rPr>
          <w:t xml:space="preserve">نیاد نیپون ژاپن </w:t>
        </w:r>
        <w:r w:rsidRPr="00636783">
          <w:rPr>
            <w:rFonts w:ascii="IRLotus" w:eastAsia="Times New Roman" w:hAnsi="IRLotus" w:cs="IRLotus" w:hint="cs"/>
            <w:b/>
            <w:bCs/>
            <w:color w:val="auto"/>
            <w:sz w:val="28"/>
            <w:szCs w:val="28"/>
            <w:rtl/>
          </w:rPr>
          <w:t>30</w:t>
        </w:r>
        <w:r w:rsidRPr="00636783">
          <w:rPr>
            <w:rFonts w:ascii="IRLotus" w:eastAsia="Times New Roman" w:hAnsi="IRLotus" w:cs="IRLotus"/>
            <w:b/>
            <w:bCs/>
            <w:color w:val="auto"/>
            <w:sz w:val="28"/>
            <w:szCs w:val="28"/>
            <w:rtl/>
          </w:rPr>
          <w:t xml:space="preserve"> جلد کتاب به </w:t>
        </w:r>
        <w:r w:rsidRPr="00636783">
          <w:rPr>
            <w:rFonts w:ascii="IRLotus" w:eastAsia="Times New Roman" w:hAnsi="IRLotus" w:cs="IRLotus"/>
            <w:b/>
            <w:bCs/>
            <w:color w:val="auto"/>
            <w:sz w:val="28"/>
            <w:szCs w:val="28"/>
            <w:rtl/>
          </w:rPr>
          <w:t xml:space="preserve">دانشگاه </w:t>
        </w:r>
        <w:r w:rsidRPr="00636783">
          <w:rPr>
            <w:rFonts w:ascii="IRLotus" w:eastAsia="Times New Roman" w:hAnsi="IRLotus" w:cs="IRLotus" w:hint="cs"/>
            <w:b/>
            <w:bCs/>
            <w:color w:val="auto"/>
            <w:sz w:val="28"/>
            <w:szCs w:val="28"/>
            <w:rtl/>
          </w:rPr>
          <w:t>بین المللی مذاهب اسلامی</w:t>
        </w:r>
        <w:r w:rsidRPr="00636783">
          <w:rPr>
            <w:rFonts w:ascii="IRLotus" w:eastAsia="Times New Roman" w:hAnsi="IRLotus" w:cs="IRLotus"/>
            <w:b/>
            <w:bCs/>
            <w:color w:val="auto"/>
            <w:sz w:val="28"/>
            <w:szCs w:val="28"/>
            <w:rtl/>
          </w:rPr>
          <w:t xml:space="preserve"> اهدا کرد</w:t>
        </w:r>
      </w:hyperlink>
    </w:p>
    <w:p w:rsidR="00255732" w:rsidRPr="00636783" w:rsidRDefault="00255732" w:rsidP="00636783">
      <w:pPr>
        <w:pStyle w:val="summary"/>
        <w:shd w:val="clear" w:color="auto" w:fill="FFFFFF" w:themeFill="background1"/>
        <w:spacing w:line="480" w:lineRule="auto"/>
        <w:jc w:val="right"/>
        <w:rPr>
          <w:rFonts w:ascii="IRLotus" w:hAnsi="IRLotus" w:cs="IRLotus"/>
          <w:sz w:val="28"/>
          <w:szCs w:val="28"/>
        </w:rPr>
      </w:pPr>
      <w:r w:rsidRPr="00636783">
        <w:rPr>
          <w:rFonts w:ascii="IRLotus" w:hAnsi="IRLotus" w:cs="IRLotus"/>
          <w:sz w:val="28"/>
          <w:szCs w:val="28"/>
          <w:rtl/>
        </w:rPr>
        <w:t xml:space="preserve">بنیاد نیپون ژاپن به منظور گسترش همکاری علمی با دانشگاه </w:t>
      </w:r>
      <w:r w:rsidRPr="00636783">
        <w:rPr>
          <w:rFonts w:ascii="IRLotus" w:hAnsi="IRLotus" w:cs="IRLotus" w:hint="cs"/>
          <w:sz w:val="28"/>
          <w:szCs w:val="28"/>
          <w:rtl/>
        </w:rPr>
        <w:t xml:space="preserve">بین المللی مذاهب اسلامی </w:t>
      </w:r>
      <w:r w:rsidRPr="00636783">
        <w:rPr>
          <w:rFonts w:ascii="IRLotus" w:hAnsi="IRLotus" w:cs="IRLotus"/>
          <w:sz w:val="28"/>
          <w:szCs w:val="28"/>
          <w:rtl/>
        </w:rPr>
        <w:t xml:space="preserve"> و </w:t>
      </w:r>
      <w:r w:rsidRPr="00636783">
        <w:rPr>
          <w:rFonts w:ascii="IRLotus" w:hAnsi="IRLotus" w:cs="IRLotus" w:hint="cs"/>
          <w:sz w:val="28"/>
          <w:szCs w:val="28"/>
          <w:rtl/>
        </w:rPr>
        <w:t>شناسایی</w:t>
      </w:r>
      <w:r w:rsidRPr="00636783">
        <w:rPr>
          <w:rFonts w:ascii="IRLotus" w:hAnsi="IRLotus" w:cs="IRLotus"/>
          <w:sz w:val="28"/>
          <w:szCs w:val="28"/>
          <w:rtl/>
        </w:rPr>
        <w:t xml:space="preserve"> زبان، فرهنگ و تمدن کشور ژاپن به دانشجویان و استادان ایرانی، </w:t>
      </w:r>
      <w:r w:rsidRPr="00636783">
        <w:rPr>
          <w:rFonts w:ascii="IRLotus" w:hAnsi="IRLotus" w:cs="IRLotus" w:hint="cs"/>
          <w:sz w:val="28"/>
          <w:szCs w:val="28"/>
          <w:rtl/>
        </w:rPr>
        <w:t>30</w:t>
      </w:r>
      <w:r w:rsidRPr="00636783">
        <w:rPr>
          <w:rFonts w:ascii="IRLotus" w:hAnsi="IRLotus" w:cs="IRLotus"/>
          <w:sz w:val="28"/>
          <w:szCs w:val="28"/>
          <w:rtl/>
        </w:rPr>
        <w:t xml:space="preserve"> جلد کتاب به کتابخانه مرکزی دانشگاه اهدا کرد</w:t>
      </w:r>
      <w:r w:rsidR="00636783">
        <w:rPr>
          <w:rFonts w:ascii="IRLotus" w:hAnsi="IRLotus" w:cs="IRLotus" w:hint="cs"/>
          <w:sz w:val="28"/>
          <w:szCs w:val="28"/>
          <w:rtl/>
        </w:rPr>
        <w:t>.</w:t>
      </w:r>
    </w:p>
    <w:p w:rsidR="004307CA" w:rsidRPr="00636783" w:rsidRDefault="00636783" w:rsidP="00636783">
      <w:pPr>
        <w:pStyle w:val="NormalWeb"/>
        <w:spacing w:before="0" w:beforeAutospacing="0"/>
        <w:jc w:val="right"/>
        <w:rPr>
          <w:rFonts w:ascii="IRLotus" w:hAnsi="IRLotus" w:cs="IRLotus"/>
          <w:sz w:val="28"/>
          <w:szCs w:val="28"/>
        </w:rPr>
      </w:pPr>
      <w:r w:rsidRPr="00636783">
        <w:rPr>
          <w:rFonts w:ascii="IRLotus" w:hAnsi="IRLotus" w:cs="IRLotus" w:hint="cs"/>
          <w:color w:val="FF0000"/>
          <w:sz w:val="28"/>
          <w:szCs w:val="28"/>
          <w:rtl/>
        </w:rPr>
        <w:t xml:space="preserve">در روز ... </w:t>
      </w:r>
      <w:r w:rsidR="004307CA" w:rsidRPr="00636783">
        <w:rPr>
          <w:rFonts w:ascii="IRLotus" w:hAnsi="IRLotus" w:cs="IRLotus"/>
          <w:sz w:val="28"/>
          <w:szCs w:val="28"/>
          <w:rtl/>
        </w:rPr>
        <w:t xml:space="preserve">این مراسم در راستای سیاست توسعه روابط علمی بین المللی دانشگاه </w:t>
      </w:r>
      <w:r w:rsidR="00255732" w:rsidRPr="00636783">
        <w:rPr>
          <w:rFonts w:ascii="IRLotus" w:hAnsi="IRLotus" w:cs="IRLotus"/>
          <w:sz w:val="28"/>
          <w:szCs w:val="28"/>
          <w:rtl/>
        </w:rPr>
        <w:t>با دانشگاه بین المللی مذاهب اسلامی</w:t>
      </w:r>
      <w:r w:rsidR="004307CA" w:rsidRPr="00636783">
        <w:rPr>
          <w:rFonts w:ascii="IRLotus" w:hAnsi="IRLotus" w:cs="IRLotus"/>
          <w:sz w:val="28"/>
          <w:szCs w:val="28"/>
          <w:rtl/>
        </w:rPr>
        <w:t xml:space="preserve"> و </w:t>
      </w:r>
      <w:r w:rsidR="00255732" w:rsidRPr="00636783">
        <w:rPr>
          <w:rFonts w:ascii="IRLotus" w:hAnsi="IRLotus" w:cs="IRLotus"/>
          <w:sz w:val="28"/>
          <w:szCs w:val="28"/>
          <w:rtl/>
        </w:rPr>
        <w:t xml:space="preserve">آشنایی با </w:t>
      </w:r>
      <w:r w:rsidR="004307CA" w:rsidRPr="00636783">
        <w:rPr>
          <w:rFonts w:ascii="IRLotus" w:hAnsi="IRLotus" w:cs="IRLotus"/>
          <w:sz w:val="28"/>
          <w:szCs w:val="28"/>
          <w:rtl/>
        </w:rPr>
        <w:t xml:space="preserve"> زبان، فرهنگ و تمدن کشور ژاپن به دانشجویان و </w:t>
      </w:r>
      <w:r w:rsidR="00255732" w:rsidRPr="00636783">
        <w:rPr>
          <w:rFonts w:ascii="IRLotus" w:hAnsi="IRLotus" w:cs="IRLotus"/>
          <w:sz w:val="28"/>
          <w:szCs w:val="28"/>
          <w:rtl/>
        </w:rPr>
        <w:t>استادان</w:t>
      </w:r>
      <w:r w:rsidR="004307CA" w:rsidRPr="00636783">
        <w:rPr>
          <w:rFonts w:ascii="IRLotus" w:hAnsi="IRLotus" w:cs="IRLotus"/>
          <w:sz w:val="28"/>
          <w:szCs w:val="28"/>
          <w:rtl/>
        </w:rPr>
        <w:t xml:space="preserve"> ایرانی </w:t>
      </w:r>
      <w:r w:rsidR="00255732" w:rsidRPr="00636783">
        <w:rPr>
          <w:rFonts w:ascii="IRLotus" w:hAnsi="IRLotus" w:cs="IRLotus"/>
          <w:sz w:val="28"/>
          <w:szCs w:val="28"/>
          <w:rtl/>
        </w:rPr>
        <w:t xml:space="preserve">در سالن </w:t>
      </w:r>
      <w:r w:rsidR="00255732" w:rsidRPr="00636783">
        <w:rPr>
          <w:rFonts w:ascii="IRLotus" w:hAnsi="IRLotus" w:cs="IRLotus"/>
          <w:color w:val="FF0000"/>
          <w:sz w:val="28"/>
          <w:szCs w:val="28"/>
          <w:rtl/>
        </w:rPr>
        <w:t xml:space="preserve">کنفرانس </w:t>
      </w:r>
      <w:r w:rsidR="00255732" w:rsidRPr="00636783">
        <w:rPr>
          <w:rFonts w:ascii="IRLotus" w:hAnsi="IRLotus" w:cs="IRLotus"/>
          <w:sz w:val="28"/>
          <w:szCs w:val="28"/>
          <w:rtl/>
        </w:rPr>
        <w:t xml:space="preserve">دانشگاه انجام شد </w:t>
      </w:r>
      <w:r w:rsidR="004307CA" w:rsidRPr="00636783">
        <w:rPr>
          <w:rFonts w:ascii="IRLotus" w:hAnsi="IRLotus" w:cs="IRLotus"/>
          <w:sz w:val="28"/>
          <w:szCs w:val="28"/>
          <w:rtl/>
        </w:rPr>
        <w:t xml:space="preserve"> و طی آن </w:t>
      </w:r>
      <w:r w:rsidRPr="00636783">
        <w:rPr>
          <w:rFonts w:ascii="IRLotus" w:hAnsi="IRLotus" w:cs="IRLotus"/>
          <w:sz w:val="28"/>
          <w:szCs w:val="28"/>
          <w:rtl/>
        </w:rPr>
        <w:t xml:space="preserve">سفیر ژاپن </w:t>
      </w:r>
      <w:r w:rsidR="004307CA" w:rsidRPr="00636783">
        <w:rPr>
          <w:rFonts w:ascii="IRLotus" w:hAnsi="IRLotus" w:cs="IRLotus"/>
          <w:sz w:val="28"/>
          <w:szCs w:val="28"/>
          <w:rtl/>
        </w:rPr>
        <w:t xml:space="preserve"> و </w:t>
      </w:r>
      <w:r w:rsidRPr="00636783">
        <w:rPr>
          <w:rFonts w:ascii="IRLotus" w:hAnsi="IRLotus" w:cs="IRLotus"/>
          <w:sz w:val="28"/>
          <w:szCs w:val="28"/>
          <w:rtl/>
        </w:rPr>
        <w:t xml:space="preserve">هیئت همراهتعداد 30 عنوان کتاب </w:t>
      </w:r>
      <w:r w:rsidR="004307CA" w:rsidRPr="00636783">
        <w:rPr>
          <w:rFonts w:ascii="IRLotus" w:hAnsi="IRLotus" w:cs="IRLotus"/>
          <w:sz w:val="28"/>
          <w:szCs w:val="28"/>
          <w:rtl/>
        </w:rPr>
        <w:t>را ا</w:t>
      </w:r>
      <w:r w:rsidRPr="00636783">
        <w:rPr>
          <w:rFonts w:ascii="IRLotus" w:hAnsi="IRLotus" w:cs="IRLotus"/>
          <w:sz w:val="28"/>
          <w:szCs w:val="28"/>
          <w:rtl/>
        </w:rPr>
        <w:t xml:space="preserve"> به کتابخانه مرکزی این دانشگاه </w:t>
      </w:r>
      <w:r w:rsidR="004307CA" w:rsidRPr="00636783">
        <w:rPr>
          <w:rFonts w:ascii="IRLotus" w:hAnsi="IRLotus" w:cs="IRLotus"/>
          <w:sz w:val="28"/>
          <w:szCs w:val="28"/>
          <w:rtl/>
        </w:rPr>
        <w:t>هدا کرد</w:t>
      </w:r>
      <w:r w:rsidRPr="00636783">
        <w:rPr>
          <w:rFonts w:ascii="IRLotus" w:hAnsi="IRLotus" w:cs="IRLotus"/>
          <w:sz w:val="28"/>
          <w:szCs w:val="28"/>
          <w:rtl/>
        </w:rPr>
        <w:t>.</w:t>
      </w:r>
      <w:r w:rsidR="004307CA" w:rsidRPr="00636783">
        <w:rPr>
          <w:rFonts w:ascii="IRLotus" w:hAnsi="IRLotus" w:cs="IRLotus"/>
          <w:sz w:val="28"/>
          <w:szCs w:val="28"/>
        </w:rPr>
        <w:t>.</w:t>
      </w:r>
    </w:p>
    <w:p w:rsidR="00255732" w:rsidRPr="00636783" w:rsidRDefault="00636783" w:rsidP="00636783">
      <w:pPr>
        <w:pStyle w:val="NormalWeb"/>
        <w:spacing w:before="0" w:beforeAutospacing="0"/>
        <w:jc w:val="right"/>
        <w:rPr>
          <w:rFonts w:ascii="IRLotus" w:hAnsi="IRLotus" w:cs="IRLotus"/>
          <w:sz w:val="28"/>
          <w:szCs w:val="28"/>
        </w:rPr>
      </w:pPr>
      <w:r w:rsidRPr="00636783">
        <w:rPr>
          <w:rFonts w:ascii="IRLotus" w:hAnsi="IRLotus" w:cs="IRLotus"/>
          <w:sz w:val="28"/>
          <w:szCs w:val="28"/>
          <w:rtl/>
        </w:rPr>
        <w:t xml:space="preserve">گفتنی است که </w:t>
      </w:r>
      <w:r w:rsidR="00255732" w:rsidRPr="00636783">
        <w:rPr>
          <w:rFonts w:ascii="IRLotus" w:hAnsi="IRLotus" w:cs="IRLotus"/>
          <w:sz w:val="28"/>
          <w:szCs w:val="28"/>
          <w:rtl/>
        </w:rPr>
        <w:t xml:space="preserve">بنیاد نیپون یک نهاد خیریه و بشردوستانه معتبر ژاپنی است که در سال </w:t>
      </w:r>
      <w:r w:rsidR="00255732" w:rsidRPr="00636783">
        <w:rPr>
          <w:rFonts w:ascii="IRLotus" w:hAnsi="IRLotus" w:cs="IRLotus"/>
          <w:sz w:val="28"/>
          <w:szCs w:val="28"/>
          <w:rtl/>
          <w:lang w:bidi="fa-IR"/>
        </w:rPr>
        <w:t>۱۹۶۲</w:t>
      </w:r>
      <w:r w:rsidR="00255732" w:rsidRPr="00636783">
        <w:rPr>
          <w:rFonts w:ascii="IRLotus" w:hAnsi="IRLotus" w:cs="IRLotus"/>
          <w:sz w:val="28"/>
          <w:szCs w:val="28"/>
          <w:rtl/>
        </w:rPr>
        <w:t xml:space="preserve"> تأسیس شد و تمرکز آن بر کاهش فقر، مبارزه با بیماری‌ها (به‌ویژه جذام)، توسعه ظرفیت‌های علمی و تقویت همکاری‌های بین‌المللی است. این بنیاد حامی پروژه‌های بزرگی مانند </w:t>
      </w:r>
      <w:r w:rsidR="00255732" w:rsidRPr="00636783">
        <w:rPr>
          <w:rFonts w:ascii="IRLotus" w:hAnsi="IRLotus" w:cs="IRLotus"/>
          <w:b/>
          <w:bCs/>
          <w:sz w:val="28"/>
          <w:szCs w:val="28"/>
        </w:rPr>
        <w:t>Ocean Nexus</w:t>
      </w:r>
      <w:r w:rsidR="00255732" w:rsidRPr="00636783">
        <w:rPr>
          <w:rFonts w:ascii="IRLotus" w:hAnsi="IRLotus" w:cs="IRLotus"/>
          <w:sz w:val="28"/>
          <w:szCs w:val="28"/>
        </w:rPr>
        <w:t xml:space="preserve"> </w:t>
      </w:r>
      <w:r w:rsidR="00255732" w:rsidRPr="00636783">
        <w:rPr>
          <w:rFonts w:ascii="IRLotus" w:hAnsi="IRLotus" w:cs="IRLotus"/>
          <w:sz w:val="28"/>
          <w:szCs w:val="28"/>
          <w:rtl/>
        </w:rPr>
        <w:t>است که هدف آن توانمندسازی پژوهش‌های دریایی و ایجاد پل میان دانشگاهیان، سیاست‌گذاران و جوامع وابسته به اقیانوس‌هاست</w:t>
      </w:r>
      <w:r w:rsidRPr="00636783">
        <w:rPr>
          <w:rFonts w:ascii="IRLotus" w:hAnsi="IRLotus" w:cs="IRLotus"/>
          <w:sz w:val="28"/>
          <w:szCs w:val="28"/>
          <w:rtl/>
        </w:rPr>
        <w:t>.</w:t>
      </w:r>
      <w:r w:rsidR="00255732" w:rsidRPr="00636783">
        <w:rPr>
          <w:rFonts w:ascii="IRLotus" w:hAnsi="IRLotus" w:cs="IRLotus"/>
          <w:sz w:val="28"/>
          <w:szCs w:val="28"/>
        </w:rPr>
        <w:t>.</w:t>
      </w:r>
    </w:p>
    <w:sectPr w:rsidR="00255732" w:rsidRPr="00636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559AE"/>
    <w:multiLevelType w:val="multilevel"/>
    <w:tmpl w:val="842C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545F24"/>
    <w:multiLevelType w:val="multilevel"/>
    <w:tmpl w:val="4D5E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7381E"/>
    <w:multiLevelType w:val="multilevel"/>
    <w:tmpl w:val="1608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490697"/>
    <w:multiLevelType w:val="multilevel"/>
    <w:tmpl w:val="D84C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D4"/>
    <w:rsid w:val="00255732"/>
    <w:rsid w:val="003E164E"/>
    <w:rsid w:val="004307CA"/>
    <w:rsid w:val="005A7B34"/>
    <w:rsid w:val="00636783"/>
    <w:rsid w:val="007D651C"/>
    <w:rsid w:val="007E42D9"/>
    <w:rsid w:val="00A421D4"/>
    <w:rsid w:val="00A753BA"/>
    <w:rsid w:val="00F8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BA334-1B3E-48DB-B8CA-6BBBD7A0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7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75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A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53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753B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30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307CA"/>
    <w:rPr>
      <w:color w:val="0000FF"/>
      <w:u w:val="single"/>
    </w:rPr>
  </w:style>
  <w:style w:type="paragraph" w:customStyle="1" w:styleId="summary">
    <w:name w:val="summary"/>
    <w:basedOn w:val="Normal"/>
    <w:rsid w:val="0043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2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334">
          <w:marLeft w:val="-150"/>
          <w:marRight w:val="-150"/>
          <w:marTop w:val="600"/>
          <w:marBottom w:val="0"/>
          <w:divBdr>
            <w:top w:val="single" w:sz="6" w:space="15" w:color="DEE2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rna.ir/news/83394538/%D8%A8%D9%86%DB%8C%D8%A7%D8%AF-%D9%86%DB%8C%D9%BE%D9%88%D9%86-%DA%98%D8%A7%D9%BE%D9%86-%DB%B1%DB%B0%DB%B0-%D8%AC%D9%84%D8%AF-%DA%A9%D8%AA%D8%A7%D8%A8-%D8%A8%D9%87-%D8%AF%D8%A7%D9%86%D8%B4%DA%AF%D8%A7%D9%87-%D8%B9%D9%84%D8%A7%D9%85%D9%87-%D8%B7%D8%A8%D8%A7%D8%B7%D8%A8%D8%A7%DB%8C%DB%8C-%D8%A7%D9%87%D8%AF%D8%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hosein sarmad mohammadi</dc:creator>
  <cp:keywords/>
  <dc:description/>
  <cp:lastModifiedBy>Mr hosein sarmad mohammadi</cp:lastModifiedBy>
  <cp:revision>3</cp:revision>
  <dcterms:created xsi:type="dcterms:W3CDTF">2025-12-08T14:09:00Z</dcterms:created>
  <dcterms:modified xsi:type="dcterms:W3CDTF">2026-01-06T09:09:00Z</dcterms:modified>
</cp:coreProperties>
</file>